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AFDE" w14:textId="0600270D" w:rsidR="00D0770A" w:rsidRPr="00006F9A" w:rsidRDefault="00D0770A" w:rsidP="00D0770A">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sidR="000E229B">
        <w:rPr>
          <w:rFonts w:cs="Arial"/>
          <w:szCs w:val="24"/>
        </w:rPr>
        <w:t>4</w:t>
      </w:r>
      <w:r w:rsidR="00725FD9">
        <w:rPr>
          <w:rFonts w:cs="Arial"/>
          <w:szCs w:val="24"/>
        </w:rPr>
        <w:t>bis</w:t>
      </w:r>
      <w:r w:rsidRPr="00006F9A">
        <w:rPr>
          <w:rFonts w:cs="Arial"/>
          <w:szCs w:val="24"/>
        </w:rPr>
        <w:t>-e</w:t>
      </w:r>
      <w:r w:rsidRPr="00006F9A">
        <w:rPr>
          <w:rFonts w:cs="Arial"/>
        </w:rPr>
        <w:tab/>
      </w:r>
      <w:r w:rsidRPr="00DC1EC2">
        <w:rPr>
          <w:rFonts w:cs="Arial"/>
          <w:szCs w:val="24"/>
        </w:rPr>
        <w:t>R4-22</w:t>
      </w:r>
      <w:r w:rsidR="00803748">
        <w:rPr>
          <w:rFonts w:cs="Arial"/>
          <w:szCs w:val="24"/>
        </w:rPr>
        <w:t>1</w:t>
      </w:r>
      <w:r w:rsidR="003B2D75">
        <w:rPr>
          <w:rFonts w:cs="Arial"/>
          <w:szCs w:val="24"/>
        </w:rPr>
        <w:t>6455</w:t>
      </w:r>
    </w:p>
    <w:p w14:paraId="788ACE7B" w14:textId="389EDE80" w:rsidR="00D0770A" w:rsidRPr="00006F9A" w:rsidRDefault="00D0770A" w:rsidP="00D0770A">
      <w:pPr>
        <w:pStyle w:val="3GPPHeader"/>
        <w:rPr>
          <w:rFonts w:cs="Arial"/>
        </w:rPr>
      </w:pPr>
      <w:bookmarkStart w:id="1" w:name="OLE_LINK3"/>
      <w:bookmarkStart w:id="2" w:name="OLE_LINK4"/>
      <w:r w:rsidRPr="00006F9A">
        <w:rPr>
          <w:rFonts w:cs="Arial"/>
        </w:rPr>
        <w:t xml:space="preserve">Electronic Meeting, </w:t>
      </w:r>
      <w:r w:rsidR="00725FD9">
        <w:rPr>
          <w:rFonts w:cs="Arial"/>
        </w:rPr>
        <w:t>Oct</w:t>
      </w:r>
      <w:r w:rsidRPr="00006F9A">
        <w:rPr>
          <w:rFonts w:cs="Arial"/>
        </w:rPr>
        <w:t xml:space="preserve"> </w:t>
      </w:r>
      <w:r w:rsidR="000E229B">
        <w:rPr>
          <w:rFonts w:cs="Arial"/>
        </w:rPr>
        <w:t>1</w:t>
      </w:r>
      <w:r w:rsidR="00725FD9">
        <w:rPr>
          <w:rFonts w:cs="Arial"/>
        </w:rPr>
        <w:t>0</w:t>
      </w:r>
      <w:r w:rsidRPr="00006F9A">
        <w:rPr>
          <w:rFonts w:cs="Arial"/>
        </w:rPr>
        <w:t xml:space="preserve">- </w:t>
      </w:r>
      <w:r w:rsidR="00725FD9">
        <w:rPr>
          <w:rFonts w:cs="Arial"/>
        </w:rPr>
        <w:t>Oct</w:t>
      </w:r>
      <w:r w:rsidRPr="00006F9A">
        <w:rPr>
          <w:rFonts w:cs="Arial"/>
        </w:rPr>
        <w:t xml:space="preserve"> </w:t>
      </w:r>
      <w:r w:rsidR="00725FD9">
        <w:rPr>
          <w:rFonts w:cs="Arial"/>
        </w:rPr>
        <w:t>19</w:t>
      </w:r>
      <w:r w:rsidRPr="00006F9A">
        <w:rPr>
          <w:rFonts w:cs="Arial"/>
        </w:rPr>
        <w:t>, 2022</w:t>
      </w:r>
    </w:p>
    <w:bookmarkEnd w:id="1"/>
    <w:bookmarkEnd w:id="2"/>
    <w:p w14:paraId="18DE180A" w14:textId="7CFED8BF" w:rsidR="00D80957" w:rsidRPr="00E80725" w:rsidRDefault="00D80957" w:rsidP="00CB3F45">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0651A8">
        <w:rPr>
          <w:rFonts w:ascii="Arial" w:hAnsi="Arial" w:cs="Arial"/>
          <w:bCs/>
          <w:sz w:val="22"/>
          <w:szCs w:val="22"/>
        </w:rPr>
        <w:t>4</w:t>
      </w:r>
      <w:r w:rsidR="00B17D94" w:rsidRPr="00B17D94">
        <w:rPr>
          <w:rFonts w:ascii="Arial" w:hAnsi="Arial" w:cs="Arial"/>
          <w:bCs/>
          <w:sz w:val="22"/>
          <w:szCs w:val="22"/>
        </w:rPr>
        <w:t>.</w:t>
      </w:r>
      <w:r w:rsidR="000651A8">
        <w:rPr>
          <w:rFonts w:ascii="Arial" w:hAnsi="Arial" w:cs="Arial"/>
          <w:bCs/>
          <w:sz w:val="22"/>
          <w:szCs w:val="22"/>
        </w:rPr>
        <w:t>6</w:t>
      </w:r>
      <w:r w:rsidR="00B17D94" w:rsidRPr="00B17D94">
        <w:rPr>
          <w:rFonts w:ascii="Arial" w:hAnsi="Arial" w:cs="Arial"/>
          <w:bCs/>
          <w:sz w:val="22"/>
          <w:szCs w:val="22"/>
        </w:rPr>
        <w:t>.3.1.2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0D5F0804"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proofErr w:type="spellStart"/>
      <w:r w:rsidR="00377F23">
        <w:rPr>
          <w:rFonts w:ascii="Arial" w:hAnsi="Arial" w:cs="Arial"/>
          <w:sz w:val="22"/>
          <w:szCs w:val="22"/>
        </w:rPr>
        <w:t>RedCap</w:t>
      </w:r>
      <w:proofErr w:type="spellEnd"/>
      <w:r w:rsidR="00AA3407">
        <w:rPr>
          <w:rFonts w:ascii="Arial" w:hAnsi="Arial" w:cs="Arial"/>
          <w:sz w:val="22"/>
          <w:szCs w:val="22"/>
        </w:rPr>
        <w:t xml:space="preserve"> </w:t>
      </w:r>
      <w:r w:rsidR="00040A93">
        <w:rPr>
          <w:rFonts w:ascii="Arial" w:hAnsi="Arial" w:cs="Arial"/>
          <w:sz w:val="22"/>
          <w:szCs w:val="22"/>
        </w:rPr>
        <w:t>mobility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3" w:name="OLE_LINK13"/>
      <w:bookmarkStart w:id="4" w:name="OLE_LINK14"/>
    </w:p>
    <w:p w14:paraId="38BC19E2" w14:textId="5D372F00" w:rsidR="00582257" w:rsidRPr="002533BD" w:rsidRDefault="00347170" w:rsidP="002533BD">
      <w:pPr>
        <w:jc w:val="both"/>
        <w:rPr>
          <w:lang w:eastAsia="zh-CN"/>
        </w:rPr>
      </w:pPr>
      <w:r w:rsidRPr="002533BD">
        <w:rPr>
          <w:lang w:eastAsia="zh-CN"/>
        </w:rPr>
        <w:t xml:space="preserve">RAN4 has discussed the impact on RRM </w:t>
      </w:r>
      <w:r w:rsidR="00646EDA" w:rsidRPr="002533BD">
        <w:rPr>
          <w:lang w:eastAsia="zh-CN"/>
        </w:rPr>
        <w:t xml:space="preserve">Handover </w:t>
      </w:r>
      <w:r w:rsidRPr="002533BD">
        <w:rPr>
          <w:lang w:eastAsia="zh-CN"/>
        </w:rPr>
        <w:t xml:space="preserve">requirements due to </w:t>
      </w:r>
      <w:r w:rsidR="00646EDA" w:rsidRPr="002533BD">
        <w:rPr>
          <w:lang w:eastAsia="zh-CN"/>
        </w:rPr>
        <w:t>NCD-SSB in last meeting</w:t>
      </w:r>
      <w:r w:rsidR="006341DD" w:rsidRPr="002533BD">
        <w:rPr>
          <w:lang w:eastAsia="zh-CN"/>
        </w:rPr>
        <w:t xml:space="preserve"> and </w:t>
      </w:r>
      <w:r w:rsidR="0027629B" w:rsidRPr="002533BD">
        <w:rPr>
          <w:lang w:eastAsia="zh-CN"/>
        </w:rPr>
        <w:t>the remaining issues are as follow</w:t>
      </w:r>
      <w:r w:rsidR="006341DD" w:rsidRPr="002533BD">
        <w:rPr>
          <w:lang w:eastAsia="zh-CN"/>
        </w:rPr>
        <w:t xml:space="preserve"> </w:t>
      </w:r>
      <w:r w:rsidR="00241F6D" w:rsidRPr="002533BD">
        <w:rPr>
          <w:lang w:eastAsia="zh-CN"/>
        </w:rPr>
        <w:t>[1]</w:t>
      </w:r>
      <w:r w:rsidR="006341DD" w:rsidRPr="002533BD">
        <w:rPr>
          <w:lang w:eastAsia="zh-CN"/>
        </w:rPr>
        <w:t>.</w:t>
      </w:r>
      <w:r w:rsidR="00241F6D" w:rsidRPr="002533BD">
        <w:rPr>
          <w:lang w:eastAsia="zh-CN"/>
        </w:rPr>
        <w:t xml:space="preserve"> </w:t>
      </w:r>
    </w:p>
    <w:tbl>
      <w:tblPr>
        <w:tblStyle w:val="TableGrid"/>
        <w:tblW w:w="0" w:type="auto"/>
        <w:tblLook w:val="04A0" w:firstRow="1" w:lastRow="0" w:firstColumn="1" w:lastColumn="0" w:noHBand="0" w:noVBand="1"/>
      </w:tblPr>
      <w:tblGrid>
        <w:gridCol w:w="10142"/>
      </w:tblGrid>
      <w:tr w:rsidR="00366CE8" w14:paraId="14C57A33" w14:textId="77777777" w:rsidTr="00366CE8">
        <w:tc>
          <w:tcPr>
            <w:tcW w:w="10142" w:type="dxa"/>
          </w:tcPr>
          <w:p w14:paraId="739A508C" w14:textId="77777777" w:rsidR="00366CE8" w:rsidRPr="00366CE8" w:rsidRDefault="00366CE8" w:rsidP="002533BD">
            <w:pPr>
              <w:spacing w:after="0"/>
              <w:jc w:val="both"/>
              <w:rPr>
                <w:rFonts w:eastAsia="Times New Roman"/>
                <w:color w:val="000000"/>
                <w:lang w:eastAsia="zh-CN"/>
              </w:rPr>
            </w:pPr>
            <w:r w:rsidRPr="00920AD1">
              <w:rPr>
                <w:rFonts w:eastAsia="Times New Roman"/>
                <w:b/>
                <w:bCs/>
                <w:color w:val="000000"/>
                <w:u w:val="single"/>
                <w:lang w:eastAsia="zh-CN"/>
              </w:rPr>
              <w:t xml:space="preserve">Issue 2-1-2: Requirements for HO to a BWP which has different SSB with the one used for measurement </w:t>
            </w:r>
          </w:p>
          <w:p w14:paraId="02111076" w14:textId="77777777" w:rsidR="00366CE8" w:rsidRPr="00366CE8" w:rsidRDefault="00366CE8" w:rsidP="002533BD">
            <w:pPr>
              <w:spacing w:after="0"/>
              <w:jc w:val="both"/>
              <w:rPr>
                <w:rFonts w:eastAsia="Times New Roman"/>
                <w:color w:val="000000"/>
                <w:lang w:eastAsia="zh-CN"/>
              </w:rPr>
            </w:pPr>
            <w:r w:rsidRPr="00366CE8">
              <w:rPr>
                <w:rFonts w:eastAsia="Times New Roman"/>
                <w:i/>
                <w:iCs/>
                <w:color w:val="000000"/>
                <w:lang w:eastAsia="zh-CN"/>
              </w:rPr>
              <w:t>Company positions after 1</w:t>
            </w:r>
            <w:r w:rsidRPr="00366CE8">
              <w:rPr>
                <w:rFonts w:eastAsia="Times New Roman"/>
                <w:i/>
                <w:iCs/>
                <w:color w:val="000000"/>
                <w:vertAlign w:val="superscript"/>
                <w:lang w:eastAsia="zh-CN"/>
              </w:rPr>
              <w:t>st</w:t>
            </w:r>
            <w:r w:rsidRPr="00366CE8">
              <w:rPr>
                <w:rFonts w:eastAsia="Times New Roman"/>
                <w:i/>
                <w:iCs/>
                <w:color w:val="000000"/>
                <w:lang w:eastAsia="zh-CN"/>
              </w:rPr>
              <w:t xml:space="preserve"> round:</w:t>
            </w:r>
          </w:p>
          <w:p w14:paraId="63B12D3F" w14:textId="77777777" w:rsidR="00366CE8" w:rsidRPr="00366CE8" w:rsidRDefault="00366CE8" w:rsidP="002533BD">
            <w:pPr>
              <w:numPr>
                <w:ilvl w:val="0"/>
                <w:numId w:val="60"/>
              </w:numPr>
              <w:spacing w:after="120"/>
              <w:jc w:val="both"/>
              <w:textAlignment w:val="center"/>
              <w:rPr>
                <w:rFonts w:ascii="Calibri" w:eastAsia="Times New Roman" w:hAnsi="Calibri" w:cs="Calibri"/>
                <w:sz w:val="22"/>
                <w:szCs w:val="22"/>
                <w:lang w:eastAsia="zh-CN"/>
              </w:rPr>
            </w:pPr>
            <w:r w:rsidRPr="00366CE8">
              <w:rPr>
                <w:rFonts w:eastAsia="Times New Roman"/>
                <w:b/>
                <w:bCs/>
                <w:color w:val="000000"/>
                <w:lang w:eastAsia="zh-CN"/>
              </w:rPr>
              <w:t xml:space="preserve">Option 1 (QC, vivo, MTK): </w:t>
            </w:r>
            <w:r w:rsidRPr="00366CE8">
              <w:rPr>
                <w:rFonts w:eastAsia="Times New Roman"/>
                <w:lang w:eastAsia="zh-CN"/>
              </w:rPr>
              <w:t>The scenario when handover is performed to a BWP which has different SSB than the one used during measurement should be considered as handover to an unknown cell.</w:t>
            </w:r>
          </w:p>
          <w:p w14:paraId="1F21B470" w14:textId="77777777" w:rsidR="00366CE8" w:rsidRPr="00366CE8" w:rsidRDefault="00366CE8" w:rsidP="002533BD">
            <w:pPr>
              <w:numPr>
                <w:ilvl w:val="0"/>
                <w:numId w:val="60"/>
              </w:numPr>
              <w:spacing w:after="120"/>
              <w:jc w:val="both"/>
              <w:textAlignment w:val="center"/>
              <w:rPr>
                <w:rFonts w:ascii="Calibri" w:eastAsia="Times New Roman" w:hAnsi="Calibri" w:cs="Calibri"/>
                <w:sz w:val="22"/>
                <w:szCs w:val="22"/>
                <w:lang w:eastAsia="zh-CN"/>
              </w:rPr>
            </w:pPr>
            <w:r w:rsidRPr="00366CE8">
              <w:rPr>
                <w:rFonts w:eastAsia="Times New Roman"/>
                <w:b/>
                <w:bCs/>
                <w:color w:val="000000"/>
                <w:lang w:eastAsia="zh-CN"/>
              </w:rPr>
              <w:t xml:space="preserve">Option 2 (Apple, HW, Nokia, CMCC): </w:t>
            </w:r>
            <w:r w:rsidRPr="00366CE8">
              <w:rPr>
                <w:rFonts w:eastAsia="Times New Roman"/>
                <w:lang w:eastAsia="zh-CN"/>
              </w:rPr>
              <w:t xml:space="preserve">NCD-SSB and CD-SSB of the target cell carry same information. Option 1 not needed. </w:t>
            </w:r>
          </w:p>
          <w:p w14:paraId="79AD21D3" w14:textId="27E52F57" w:rsidR="001C6540" w:rsidRPr="001C6540" w:rsidRDefault="00366CE8" w:rsidP="002533BD">
            <w:pPr>
              <w:numPr>
                <w:ilvl w:val="0"/>
                <w:numId w:val="60"/>
              </w:numPr>
              <w:spacing w:after="0"/>
              <w:jc w:val="both"/>
              <w:textAlignment w:val="center"/>
              <w:rPr>
                <w:sz w:val="22"/>
                <w:szCs w:val="22"/>
                <w:lang w:eastAsia="zh-CN"/>
              </w:rPr>
            </w:pPr>
            <w:r w:rsidRPr="00366CE8">
              <w:rPr>
                <w:rFonts w:eastAsia="Times New Roman"/>
                <w:b/>
                <w:bCs/>
                <w:color w:val="000000"/>
                <w:lang w:eastAsia="zh-CN"/>
              </w:rPr>
              <w:t xml:space="preserve">Option 3 (E///): </w:t>
            </w:r>
            <w:r w:rsidRPr="00366CE8">
              <w:rPr>
                <w:rFonts w:eastAsia="Times New Roman"/>
                <w:color w:val="000000"/>
                <w:lang w:eastAsia="zh-CN"/>
              </w:rPr>
              <w:t xml:space="preserve">Additional </w:t>
            </w:r>
            <w:proofErr w:type="spellStart"/>
            <w:r w:rsidRPr="00366CE8">
              <w:rPr>
                <w:rFonts w:eastAsia="Times New Roman"/>
                <w:color w:val="000000"/>
                <w:lang w:eastAsia="zh-CN"/>
              </w:rPr>
              <w:t>Trs</w:t>
            </w:r>
            <w:proofErr w:type="spellEnd"/>
            <w:r w:rsidRPr="00366CE8">
              <w:rPr>
                <w:rFonts w:eastAsia="Times New Roman"/>
                <w:color w:val="000000"/>
                <w:lang w:eastAsia="zh-CN"/>
              </w:rPr>
              <w:t xml:space="preserve"> delay for AGC when handover is performed to a BWP which has different SSB than the one used during measurement</w:t>
            </w:r>
          </w:p>
          <w:p w14:paraId="786D50E6" w14:textId="52462A69" w:rsidR="00366CE8" w:rsidRDefault="00366CE8" w:rsidP="002533BD">
            <w:pPr>
              <w:spacing w:after="120"/>
              <w:jc w:val="both"/>
              <w:rPr>
                <w:sz w:val="22"/>
                <w:szCs w:val="22"/>
                <w:lang w:eastAsia="zh-CN"/>
              </w:rPr>
            </w:pPr>
          </w:p>
        </w:tc>
      </w:tr>
    </w:tbl>
    <w:p w14:paraId="45D2502F" w14:textId="03ECC7AA" w:rsidR="00823413" w:rsidRPr="002533BD" w:rsidRDefault="006341DD" w:rsidP="002533BD">
      <w:pPr>
        <w:spacing w:before="120"/>
        <w:jc w:val="both"/>
        <w:rPr>
          <w:bCs/>
          <w:kern w:val="24"/>
        </w:rPr>
      </w:pPr>
      <w:r w:rsidRPr="002533BD">
        <w:rPr>
          <w:lang w:eastAsia="zh-CN"/>
        </w:rPr>
        <w:t>I</w:t>
      </w:r>
      <w:r w:rsidR="00241F6D" w:rsidRPr="002533BD">
        <w:rPr>
          <w:lang w:eastAsia="zh-CN"/>
        </w:rPr>
        <w:t>n this contribution we further provide our view on the remaining open issues.</w:t>
      </w:r>
      <w:r w:rsidR="00823413" w:rsidRPr="002533BD">
        <w:rPr>
          <w:lang w:eastAsia="zh-CN"/>
        </w:rPr>
        <w:t xml:space="preserve"> </w:t>
      </w:r>
    </w:p>
    <w:bookmarkEnd w:id="3"/>
    <w:bookmarkEnd w:id="4"/>
    <w:p w14:paraId="305AFB35" w14:textId="77777777" w:rsidR="00B95737" w:rsidRDefault="00B95737" w:rsidP="002533BD">
      <w:pPr>
        <w:pStyle w:val="Heading1"/>
        <w:ind w:right="72"/>
        <w:jc w:val="both"/>
        <w:rPr>
          <w:lang w:val="sv-SE"/>
        </w:rPr>
      </w:pPr>
      <w:r>
        <w:rPr>
          <w:lang w:val="sv-SE"/>
        </w:rPr>
        <w:t>Discussion</w:t>
      </w:r>
    </w:p>
    <w:p w14:paraId="2D63FBD1" w14:textId="7E586BBE" w:rsidR="0042532C" w:rsidRDefault="0098688A" w:rsidP="002533BD">
      <w:pPr>
        <w:pStyle w:val="Heading2"/>
        <w:jc w:val="both"/>
      </w:pPr>
      <w:r>
        <w:rPr>
          <w:lang w:val="en-US"/>
        </w:rPr>
        <w:t xml:space="preserve">NCD-SSB related </w:t>
      </w:r>
      <w:r w:rsidR="00342D29" w:rsidRPr="00342D29">
        <w:t>Handover</w:t>
      </w:r>
    </w:p>
    <w:p w14:paraId="1AF3DC20" w14:textId="6ECBF702" w:rsidR="007F785B" w:rsidRPr="008821C8" w:rsidRDefault="00366CE8" w:rsidP="002533BD">
      <w:pPr>
        <w:overflowPunct w:val="0"/>
        <w:autoSpaceDE w:val="0"/>
        <w:autoSpaceDN w:val="0"/>
        <w:adjustRightInd w:val="0"/>
        <w:spacing w:line="259" w:lineRule="auto"/>
        <w:jc w:val="both"/>
        <w:textAlignment w:val="baseline"/>
        <w:rPr>
          <w:rFonts w:eastAsia="Yu Mincho"/>
          <w:b/>
          <w:color w:val="000000"/>
          <w:u w:val="single"/>
          <w:lang w:eastAsia="ko-KR"/>
        </w:rPr>
      </w:pPr>
      <w:r w:rsidRPr="008821C8">
        <w:rPr>
          <w:rFonts w:eastAsia="Yu Mincho"/>
          <w:b/>
          <w:color w:val="000000"/>
          <w:u w:val="single"/>
          <w:lang w:eastAsia="ko-KR"/>
        </w:rPr>
        <w:t xml:space="preserve">Mismatch between the measured SSB </w:t>
      </w:r>
      <w:r w:rsidR="008821C8" w:rsidRPr="008821C8">
        <w:rPr>
          <w:rFonts w:eastAsia="Yu Mincho"/>
          <w:b/>
          <w:color w:val="000000"/>
          <w:u w:val="single"/>
          <w:lang w:eastAsia="ko-KR"/>
        </w:rPr>
        <w:t xml:space="preserve">type </w:t>
      </w:r>
      <w:r w:rsidRPr="008821C8">
        <w:rPr>
          <w:rFonts w:eastAsia="Yu Mincho"/>
          <w:b/>
          <w:color w:val="000000"/>
          <w:u w:val="single"/>
          <w:lang w:eastAsia="ko-KR"/>
        </w:rPr>
        <w:t>and HO SSB</w:t>
      </w:r>
      <w:r w:rsidR="008821C8" w:rsidRPr="008821C8">
        <w:rPr>
          <w:rFonts w:eastAsia="Yu Mincho"/>
          <w:b/>
          <w:color w:val="000000"/>
          <w:u w:val="single"/>
          <w:lang w:eastAsia="ko-KR"/>
        </w:rPr>
        <w:t xml:space="preserve"> type</w:t>
      </w:r>
    </w:p>
    <w:p w14:paraId="063EC1A4" w14:textId="77777777" w:rsidR="009573DD" w:rsidRDefault="0032134C" w:rsidP="002533BD">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In last meeting, RAN4 further discussed whether additional delay extension is needed </w:t>
      </w:r>
      <w:r w:rsidR="00FD1750">
        <w:rPr>
          <w:rFonts w:eastAsia="Yu Mincho"/>
          <w:bCs/>
          <w:color w:val="000000"/>
          <w:lang w:eastAsia="ko-KR"/>
        </w:rPr>
        <w:t xml:space="preserve">when NW configures the HO with a SSB type which is different as the SSB type used for measurement. </w:t>
      </w:r>
      <w:r w:rsidR="00340ECF">
        <w:rPr>
          <w:rFonts w:eastAsia="Yu Mincho"/>
          <w:bCs/>
          <w:color w:val="000000"/>
          <w:lang w:eastAsia="ko-KR"/>
        </w:rPr>
        <w:t>Some companies believe additional delay is needed for fine AGC</w:t>
      </w:r>
      <w:r w:rsidR="00A42CF7">
        <w:rPr>
          <w:rFonts w:eastAsia="Yu Mincho"/>
          <w:bCs/>
          <w:color w:val="000000"/>
          <w:lang w:eastAsia="ko-KR"/>
        </w:rPr>
        <w:t xml:space="preserve"> retuning</w:t>
      </w:r>
      <w:r w:rsidR="00340ECF">
        <w:rPr>
          <w:rFonts w:eastAsia="Yu Mincho"/>
          <w:bCs/>
          <w:color w:val="000000"/>
          <w:lang w:eastAsia="ko-KR"/>
        </w:rPr>
        <w:t xml:space="preserve"> and</w:t>
      </w:r>
      <w:r w:rsidR="00A42CF7">
        <w:rPr>
          <w:rFonts w:eastAsia="Yu Mincho"/>
          <w:bCs/>
          <w:color w:val="000000"/>
          <w:lang w:eastAsia="ko-KR"/>
        </w:rPr>
        <w:t xml:space="preserve"> frequency/time tracking. However, after further check with RAN2 spec, we underst</w:t>
      </w:r>
      <w:r w:rsidR="004176F8">
        <w:rPr>
          <w:rFonts w:eastAsia="Yu Mincho"/>
          <w:bCs/>
          <w:color w:val="000000"/>
          <w:lang w:eastAsia="ko-KR"/>
        </w:rPr>
        <w:t>and that UE can know the PCI of the SSB which is used for HO. If the PCI is the same as the SSB used for measurement, no additional delay is needed</w:t>
      </w:r>
      <w:r w:rsidR="009573DD">
        <w:rPr>
          <w:rFonts w:eastAsia="Yu Mincho"/>
          <w:bCs/>
          <w:color w:val="000000"/>
          <w:lang w:eastAsia="ko-KR"/>
        </w:rPr>
        <w:t xml:space="preserve"> since the CD-SSB and NCD-SSB are </w:t>
      </w:r>
      <w:proofErr w:type="spellStart"/>
      <w:r w:rsidR="009573DD">
        <w:rPr>
          <w:rFonts w:eastAsia="Yu Mincho"/>
          <w:bCs/>
          <w:color w:val="000000"/>
          <w:lang w:eastAsia="ko-KR"/>
        </w:rPr>
        <w:t>QCLed</w:t>
      </w:r>
      <w:proofErr w:type="spellEnd"/>
      <w:r w:rsidR="004176F8">
        <w:rPr>
          <w:rFonts w:eastAsia="Yu Mincho"/>
          <w:bCs/>
          <w:color w:val="000000"/>
          <w:lang w:eastAsia="ko-KR"/>
        </w:rPr>
        <w:t xml:space="preserve">. </w:t>
      </w:r>
      <w:r w:rsidR="009573DD">
        <w:rPr>
          <w:rFonts w:eastAsia="Yu Mincho"/>
          <w:bCs/>
          <w:color w:val="000000"/>
          <w:lang w:eastAsia="ko-KR"/>
        </w:rPr>
        <w:t>UE can get the AGC and timing info. from the measured SSB either CD-SSB or NCD-SSB.</w:t>
      </w:r>
    </w:p>
    <w:p w14:paraId="58C5D2B4" w14:textId="6644C977" w:rsidR="00342D29" w:rsidRPr="00DD1B80" w:rsidRDefault="009573DD" w:rsidP="002533BD">
      <w:pPr>
        <w:overflowPunct w:val="0"/>
        <w:autoSpaceDE w:val="0"/>
        <w:autoSpaceDN w:val="0"/>
        <w:adjustRightInd w:val="0"/>
        <w:spacing w:line="259" w:lineRule="auto"/>
        <w:jc w:val="both"/>
        <w:textAlignment w:val="baseline"/>
        <w:rPr>
          <w:sz w:val="22"/>
          <w:szCs w:val="22"/>
          <w:lang w:eastAsia="x-none"/>
        </w:rPr>
      </w:pPr>
      <w:bookmarkStart w:id="5" w:name="_Ref115287283"/>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Pr>
          <w:b/>
          <w:bCs/>
          <w:i/>
          <w:iCs/>
          <w:noProof/>
        </w:rPr>
        <w:t>1</w:t>
      </w:r>
      <w:r w:rsidRPr="002F55D4">
        <w:rPr>
          <w:b/>
          <w:bCs/>
          <w:i/>
          <w:iCs/>
        </w:rPr>
        <w:fldChar w:fldCharType="end"/>
      </w:r>
      <w:r w:rsidRPr="002F55D4">
        <w:rPr>
          <w:b/>
          <w:bCs/>
          <w:i/>
          <w:iCs/>
        </w:rPr>
        <w:t>:</w:t>
      </w:r>
      <w:r>
        <w:rPr>
          <w:b/>
          <w:bCs/>
          <w:i/>
          <w:iCs/>
        </w:rPr>
        <w:t xml:space="preserve"> No additional delay is needed when UE handover</w:t>
      </w:r>
      <w:r w:rsidRPr="00366CE8">
        <w:rPr>
          <w:b/>
          <w:bCs/>
          <w:i/>
          <w:iCs/>
        </w:rPr>
        <w:t xml:space="preserve"> to a BWP which has different SSB </w:t>
      </w:r>
      <w:r>
        <w:rPr>
          <w:b/>
          <w:bCs/>
          <w:i/>
          <w:iCs/>
        </w:rPr>
        <w:t xml:space="preserve">type </w:t>
      </w:r>
      <w:r w:rsidRPr="00366CE8">
        <w:rPr>
          <w:b/>
          <w:bCs/>
          <w:i/>
          <w:iCs/>
        </w:rPr>
        <w:t>with the one used for measurement</w:t>
      </w:r>
      <w:r>
        <w:rPr>
          <w:b/>
          <w:bCs/>
          <w:i/>
          <w:iCs/>
        </w:rPr>
        <w:t>.</w:t>
      </w:r>
      <w:bookmarkEnd w:id="5"/>
      <w:r w:rsidR="004176F8" w:rsidRPr="009573DD">
        <w:rPr>
          <w:b/>
          <w:bCs/>
          <w:i/>
          <w:iCs/>
        </w:rPr>
        <w:t xml:space="preserve"> </w:t>
      </w:r>
      <w:r w:rsidR="00340ECF" w:rsidRPr="009573DD">
        <w:rPr>
          <w:b/>
          <w:bCs/>
          <w:i/>
          <w:iCs/>
        </w:rPr>
        <w:t xml:space="preserve"> </w:t>
      </w:r>
    </w:p>
    <w:p w14:paraId="383138CE" w14:textId="77777777" w:rsidR="00AD3201" w:rsidRDefault="00AD3201" w:rsidP="002533BD">
      <w:pPr>
        <w:pStyle w:val="Heading1"/>
        <w:ind w:right="72"/>
        <w:jc w:val="both"/>
        <w:rPr>
          <w:lang w:val="sv-SE"/>
        </w:rPr>
      </w:pPr>
      <w:r>
        <w:rPr>
          <w:lang w:val="sv-SE"/>
        </w:rPr>
        <w:t>Summary</w:t>
      </w:r>
    </w:p>
    <w:p w14:paraId="535D0283" w14:textId="7C2D667B" w:rsidR="002A2588" w:rsidRDefault="00FB3DA7" w:rsidP="002533BD">
      <w:pPr>
        <w:jc w:val="both"/>
        <w:rPr>
          <w:bCs/>
          <w:kern w:val="24"/>
        </w:rPr>
      </w:pPr>
      <w:r w:rsidRPr="00352922">
        <w:rPr>
          <w:bCs/>
          <w:kern w:val="24"/>
        </w:rPr>
        <w:t xml:space="preserve">In this contribution we have discussed the mobility requirements for </w:t>
      </w:r>
      <w:proofErr w:type="spellStart"/>
      <w:r w:rsidR="00377F23" w:rsidRPr="00352922">
        <w:rPr>
          <w:bCs/>
          <w:kern w:val="24"/>
        </w:rPr>
        <w:t>RedCap</w:t>
      </w:r>
      <w:proofErr w:type="spellEnd"/>
      <w:r w:rsidRPr="00352922">
        <w:rPr>
          <w:bCs/>
          <w:kern w:val="24"/>
        </w:rPr>
        <w:t>, and made following observations and proposals:</w:t>
      </w:r>
    </w:p>
    <w:p w14:paraId="74C18A38" w14:textId="7CF8EEAA" w:rsidR="001C6540" w:rsidRPr="00352922" w:rsidRDefault="001C6540" w:rsidP="002533BD">
      <w:pPr>
        <w:jc w:val="both"/>
        <w:rPr>
          <w:bCs/>
          <w:kern w:val="24"/>
        </w:rPr>
      </w:pPr>
      <w:r>
        <w:rPr>
          <w:bCs/>
          <w:kern w:val="24"/>
        </w:rPr>
        <w:fldChar w:fldCharType="begin"/>
      </w:r>
      <w:r>
        <w:rPr>
          <w:bCs/>
          <w:kern w:val="24"/>
        </w:rPr>
        <w:instrText xml:space="preserve"> REF _Ref115287283 \h </w:instrText>
      </w:r>
      <w:r>
        <w:rPr>
          <w:bCs/>
          <w:kern w:val="24"/>
        </w:rPr>
      </w:r>
      <w:r w:rsidR="002533BD">
        <w:rPr>
          <w:bCs/>
          <w:kern w:val="24"/>
        </w:rPr>
        <w:instrText xml:space="preserve"> \* MERGEFORMAT </w:instrText>
      </w:r>
      <w:r>
        <w:rPr>
          <w:bCs/>
          <w:kern w:val="24"/>
        </w:rPr>
        <w:fldChar w:fldCharType="separate"/>
      </w:r>
      <w:r w:rsidRPr="002F55D4">
        <w:rPr>
          <w:b/>
          <w:bCs/>
          <w:i/>
          <w:iCs/>
        </w:rPr>
        <w:t xml:space="preserve">Proposal </w:t>
      </w:r>
      <w:r>
        <w:rPr>
          <w:b/>
          <w:bCs/>
          <w:i/>
          <w:iCs/>
          <w:noProof/>
        </w:rPr>
        <w:t>1</w:t>
      </w:r>
      <w:r w:rsidRPr="002F55D4">
        <w:rPr>
          <w:b/>
          <w:bCs/>
          <w:i/>
          <w:iCs/>
        </w:rPr>
        <w:t>:</w:t>
      </w:r>
      <w:r>
        <w:rPr>
          <w:b/>
          <w:bCs/>
          <w:i/>
          <w:iCs/>
        </w:rPr>
        <w:t xml:space="preserve"> No additional delay is needed when UE handover</w:t>
      </w:r>
      <w:r w:rsidRPr="00366CE8">
        <w:rPr>
          <w:b/>
          <w:bCs/>
          <w:i/>
          <w:iCs/>
        </w:rPr>
        <w:t xml:space="preserve"> to a BWP which has different SSB </w:t>
      </w:r>
      <w:r>
        <w:rPr>
          <w:b/>
          <w:bCs/>
          <w:i/>
          <w:iCs/>
        </w:rPr>
        <w:t xml:space="preserve">type </w:t>
      </w:r>
      <w:r w:rsidRPr="00366CE8">
        <w:rPr>
          <w:b/>
          <w:bCs/>
          <w:i/>
          <w:iCs/>
        </w:rPr>
        <w:t>with the one used for measurement</w:t>
      </w:r>
      <w:r>
        <w:rPr>
          <w:b/>
          <w:bCs/>
          <w:i/>
          <w:iCs/>
        </w:rPr>
        <w:t>.</w:t>
      </w:r>
      <w:r>
        <w:rPr>
          <w:bCs/>
          <w:kern w:val="24"/>
        </w:rPr>
        <w:fldChar w:fldCharType="end"/>
      </w:r>
    </w:p>
    <w:p w14:paraId="674D305E" w14:textId="77777777" w:rsidR="003F12BE" w:rsidRPr="00721E4A" w:rsidRDefault="003F12BE" w:rsidP="002533BD">
      <w:pPr>
        <w:pStyle w:val="Heading1"/>
        <w:ind w:right="72"/>
        <w:jc w:val="both"/>
        <w:rPr>
          <w:color w:val="000000"/>
        </w:rPr>
      </w:pPr>
      <w:r w:rsidRPr="00721E4A">
        <w:rPr>
          <w:color w:val="000000"/>
          <w:lang w:val="sv-SE"/>
        </w:rPr>
        <w:t>References</w:t>
      </w:r>
    </w:p>
    <w:p w14:paraId="77159B42" w14:textId="1B2299C3" w:rsidR="00B73631" w:rsidRDefault="002F2C24" w:rsidP="002533BD">
      <w:pPr>
        <w:pStyle w:val="ListParagraph"/>
        <w:numPr>
          <w:ilvl w:val="0"/>
          <w:numId w:val="18"/>
        </w:numPr>
        <w:spacing w:before="120" w:after="60" w:line="259" w:lineRule="auto"/>
        <w:ind w:right="74" w:hanging="357"/>
        <w:contextualSpacing w:val="0"/>
        <w:jc w:val="both"/>
      </w:pPr>
      <w:r w:rsidRPr="005D708E">
        <w:t>R4-</w:t>
      </w:r>
      <w:r w:rsidRPr="00582257">
        <w:rPr>
          <w:color w:val="000000" w:themeColor="text1"/>
        </w:rPr>
        <w:t>22</w:t>
      </w:r>
      <w:r w:rsidR="00582257" w:rsidRPr="00582257">
        <w:rPr>
          <w:color w:val="000000" w:themeColor="text1"/>
          <w:lang w:val="en-US"/>
        </w:rPr>
        <w:t>1</w:t>
      </w:r>
      <w:r w:rsidR="001C6540">
        <w:rPr>
          <w:color w:val="000000" w:themeColor="text1"/>
          <w:lang w:val="en-US"/>
        </w:rPr>
        <w:t>4485</w:t>
      </w:r>
      <w:r w:rsidRPr="00582257">
        <w:rPr>
          <w:color w:val="000000" w:themeColor="text1"/>
        </w:rPr>
        <w:t xml:space="preserve">, “WF on </w:t>
      </w:r>
      <w:proofErr w:type="spellStart"/>
      <w:r w:rsidRPr="00582257">
        <w:rPr>
          <w:color w:val="000000" w:themeColor="text1"/>
        </w:rPr>
        <w:t>RedCap</w:t>
      </w:r>
      <w:proofErr w:type="spellEnd"/>
      <w:r w:rsidRPr="00582257">
        <w:rPr>
          <w:color w:val="000000" w:themeColor="text1"/>
        </w:rPr>
        <w:t xml:space="preserve"> RRM requirements”, Ericsson</w:t>
      </w:r>
    </w:p>
    <w:sectPr w:rsidR="00B73631"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6733F" w14:textId="77777777" w:rsidR="007E2D95" w:rsidRDefault="007E2D95">
      <w:r>
        <w:separator/>
      </w:r>
    </w:p>
  </w:endnote>
  <w:endnote w:type="continuationSeparator" w:id="0">
    <w:p w14:paraId="79246630" w14:textId="77777777" w:rsidR="007E2D95" w:rsidRDefault="007E2D95">
      <w:r>
        <w:continuationSeparator/>
      </w:r>
    </w:p>
  </w:endnote>
  <w:endnote w:type="continuationNotice" w:id="1">
    <w:p w14:paraId="050B4621" w14:textId="77777777" w:rsidR="007E2D95" w:rsidRDefault="007E2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6CF3E" w14:textId="77777777" w:rsidR="007E2D95" w:rsidRDefault="007E2D95">
      <w:r>
        <w:separator/>
      </w:r>
    </w:p>
  </w:footnote>
  <w:footnote w:type="continuationSeparator" w:id="0">
    <w:p w14:paraId="1396CD75" w14:textId="77777777" w:rsidR="007E2D95" w:rsidRDefault="007E2D95">
      <w:r>
        <w:continuationSeparator/>
      </w:r>
    </w:p>
  </w:footnote>
  <w:footnote w:type="continuationNotice" w:id="1">
    <w:p w14:paraId="1EB7EFF1" w14:textId="77777777" w:rsidR="007E2D95" w:rsidRDefault="007E2D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966F5C"/>
    <w:multiLevelType w:val="multilevel"/>
    <w:tmpl w:val="D292C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A69684A"/>
    <w:multiLevelType w:val="hybridMultilevel"/>
    <w:tmpl w:val="5C60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6E0AE6"/>
    <w:multiLevelType w:val="hybridMultilevel"/>
    <w:tmpl w:val="AADE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9"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451274D2"/>
    <w:multiLevelType w:val="multilevel"/>
    <w:tmpl w:val="E8244BFC"/>
    <w:lvl w:ilvl="0">
      <w:start w:val="1"/>
      <w:numFmt w:val="decimal"/>
      <w:lvlText w:val="%1)"/>
      <w:lvlJc w:val="left"/>
      <w:pPr>
        <w:ind w:left="644" w:hanging="360"/>
      </w:pPr>
      <w:rPr>
        <w:rFonts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9"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0"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0BD7341"/>
    <w:multiLevelType w:val="hybridMultilevel"/>
    <w:tmpl w:val="B5D2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4"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0" w15:restartNumberingAfterBreak="0">
    <w:nsid w:val="72D51AE7"/>
    <w:multiLevelType w:val="multilevel"/>
    <w:tmpl w:val="9BBABE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BA5B2C"/>
    <w:multiLevelType w:val="multilevel"/>
    <w:tmpl w:val="E9781D3C"/>
    <w:lvl w:ilvl="0">
      <w:start w:val="1"/>
      <w:numFmt w:val="decimal"/>
      <w:lvlText w:val="%1."/>
      <w:lvlJc w:val="left"/>
      <w:pPr>
        <w:ind w:left="644" w:hanging="360"/>
      </w:pPr>
      <w:rPr>
        <w:rFonts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55"/>
  </w:num>
  <w:num w:numId="3">
    <w:abstractNumId w:val="49"/>
  </w:num>
  <w:num w:numId="4">
    <w:abstractNumId w:val="20"/>
  </w:num>
  <w:num w:numId="5">
    <w:abstractNumId w:val="24"/>
  </w:num>
  <w:num w:numId="6">
    <w:abstractNumId w:val="3"/>
  </w:num>
  <w:num w:numId="7">
    <w:abstractNumId w:val="2"/>
  </w:num>
  <w:num w:numId="8">
    <w:abstractNumId w:val="57"/>
  </w:num>
  <w:num w:numId="9">
    <w:abstractNumId w:val="37"/>
  </w:num>
  <w:num w:numId="10">
    <w:abstractNumId w:val="36"/>
  </w:num>
  <w:num w:numId="11">
    <w:abstractNumId w:val="34"/>
  </w:num>
  <w:num w:numId="12">
    <w:abstractNumId w:val="22"/>
  </w:num>
  <w:num w:numId="13">
    <w:abstractNumId w:val="39"/>
  </w:num>
  <w:num w:numId="14">
    <w:abstractNumId w:val="26"/>
  </w:num>
  <w:num w:numId="15">
    <w:abstractNumId w:val="44"/>
  </w:num>
  <w:num w:numId="16">
    <w:abstractNumId w:val="45"/>
  </w:num>
  <w:num w:numId="17">
    <w:abstractNumId w:val="47"/>
  </w:num>
  <w:num w:numId="18">
    <w:abstractNumId w:val="5"/>
  </w:num>
  <w:num w:numId="19">
    <w:abstractNumId w:val="49"/>
  </w:num>
  <w:num w:numId="20">
    <w:abstractNumId w:val="48"/>
  </w:num>
  <w:num w:numId="21">
    <w:abstractNumId w:val="46"/>
  </w:num>
  <w:num w:numId="22">
    <w:abstractNumId w:val="32"/>
  </w:num>
  <w:num w:numId="23">
    <w:abstractNumId w:val="18"/>
  </w:num>
  <w:num w:numId="24">
    <w:abstractNumId w:val="33"/>
  </w:num>
  <w:num w:numId="25">
    <w:abstractNumId w:val="5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5"/>
  </w:num>
  <w:num w:numId="29">
    <w:abstractNumId w:val="9"/>
  </w:num>
  <w:num w:numId="30">
    <w:abstractNumId w:val="1"/>
  </w:num>
  <w:num w:numId="31">
    <w:abstractNumId w:val="11"/>
  </w:num>
  <w:num w:numId="32">
    <w:abstractNumId w:val="23"/>
  </w:num>
  <w:num w:numId="33">
    <w:abstractNumId w:val="36"/>
  </w:num>
  <w:num w:numId="34">
    <w:abstractNumId w:val="19"/>
  </w:num>
  <w:num w:numId="35">
    <w:abstractNumId w:val="10"/>
  </w:num>
  <w:num w:numId="36">
    <w:abstractNumId w:val="31"/>
  </w:num>
  <w:num w:numId="37">
    <w:abstractNumId w:val="6"/>
  </w:num>
  <w:num w:numId="38">
    <w:abstractNumId w:val="16"/>
  </w:num>
  <w:num w:numId="39">
    <w:abstractNumId w:val="4"/>
  </w:num>
  <w:num w:numId="40">
    <w:abstractNumId w:val="43"/>
  </w:num>
  <w:num w:numId="41">
    <w:abstractNumId w:val="40"/>
  </w:num>
  <w:num w:numId="42">
    <w:abstractNumId w:val="7"/>
  </w:num>
  <w:num w:numId="43">
    <w:abstractNumId w:val="41"/>
  </w:num>
  <w:num w:numId="44">
    <w:abstractNumId w:val="28"/>
  </w:num>
  <w:num w:numId="45">
    <w:abstractNumId w:val="0"/>
  </w:num>
  <w:num w:numId="46">
    <w:abstractNumId w:val="52"/>
  </w:num>
  <w:num w:numId="47">
    <w:abstractNumId w:val="14"/>
  </w:num>
  <w:num w:numId="48">
    <w:abstractNumId w:val="51"/>
  </w:num>
  <w:num w:numId="49">
    <w:abstractNumId w:val="53"/>
  </w:num>
  <w:num w:numId="50">
    <w:abstractNumId w:val="15"/>
  </w:num>
  <w:num w:numId="51">
    <w:abstractNumId w:val="25"/>
  </w:num>
  <w:num w:numId="52">
    <w:abstractNumId w:val="8"/>
  </w:num>
  <w:num w:numId="53">
    <w:abstractNumId w:val="21"/>
  </w:num>
  <w:num w:numId="54">
    <w:abstractNumId w:val="56"/>
  </w:num>
  <w:num w:numId="55">
    <w:abstractNumId w:val="30"/>
  </w:num>
  <w:num w:numId="56">
    <w:abstractNumId w:val="42"/>
  </w:num>
  <w:num w:numId="57">
    <w:abstractNumId w:val="27"/>
  </w:num>
  <w:num w:numId="58">
    <w:abstractNumId w:val="13"/>
  </w:num>
  <w:num w:numId="59">
    <w:abstractNumId w:val="50"/>
  </w:num>
  <w:num w:numId="60">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4D4"/>
    <w:rsid w:val="000005FF"/>
    <w:rsid w:val="00000819"/>
    <w:rsid w:val="0000088B"/>
    <w:rsid w:val="00000D1C"/>
    <w:rsid w:val="000012A0"/>
    <w:rsid w:val="000016D0"/>
    <w:rsid w:val="000017B4"/>
    <w:rsid w:val="0000191E"/>
    <w:rsid w:val="0000223E"/>
    <w:rsid w:val="00002615"/>
    <w:rsid w:val="0000269D"/>
    <w:rsid w:val="00002F8C"/>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2F0"/>
    <w:rsid w:val="00026E60"/>
    <w:rsid w:val="000271F2"/>
    <w:rsid w:val="00027530"/>
    <w:rsid w:val="00027A22"/>
    <w:rsid w:val="00027D17"/>
    <w:rsid w:val="00030043"/>
    <w:rsid w:val="000309F5"/>
    <w:rsid w:val="00030DD4"/>
    <w:rsid w:val="00030EC3"/>
    <w:rsid w:val="00030F57"/>
    <w:rsid w:val="00030F8E"/>
    <w:rsid w:val="0003130B"/>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1A8"/>
    <w:rsid w:val="00065486"/>
    <w:rsid w:val="00065A1B"/>
    <w:rsid w:val="00065B78"/>
    <w:rsid w:val="000669BC"/>
    <w:rsid w:val="00066D1B"/>
    <w:rsid w:val="00066D93"/>
    <w:rsid w:val="00067405"/>
    <w:rsid w:val="00067563"/>
    <w:rsid w:val="0006757F"/>
    <w:rsid w:val="000675E8"/>
    <w:rsid w:val="00067879"/>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EBF"/>
    <w:rsid w:val="0008547F"/>
    <w:rsid w:val="00085718"/>
    <w:rsid w:val="00085C0D"/>
    <w:rsid w:val="00085FA7"/>
    <w:rsid w:val="00086695"/>
    <w:rsid w:val="000867DA"/>
    <w:rsid w:val="00086932"/>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706"/>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706"/>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4C35"/>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29B"/>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9B"/>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586"/>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3A"/>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B4A"/>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540"/>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845"/>
    <w:rsid w:val="001D6A19"/>
    <w:rsid w:val="001D6B3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B0D"/>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2DCD"/>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78"/>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3BD"/>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9B"/>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4AD7"/>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1C5A"/>
    <w:rsid w:val="002D235D"/>
    <w:rsid w:val="002D26AA"/>
    <w:rsid w:val="002D2B7D"/>
    <w:rsid w:val="002D385F"/>
    <w:rsid w:val="002D3887"/>
    <w:rsid w:val="002D42DA"/>
    <w:rsid w:val="002D44AE"/>
    <w:rsid w:val="002D45A7"/>
    <w:rsid w:val="002D47DF"/>
    <w:rsid w:val="002D4823"/>
    <w:rsid w:val="002D49FE"/>
    <w:rsid w:val="002D4D9A"/>
    <w:rsid w:val="002D50FC"/>
    <w:rsid w:val="002D552B"/>
    <w:rsid w:val="002D5A89"/>
    <w:rsid w:val="002D5CCC"/>
    <w:rsid w:val="002D5E29"/>
    <w:rsid w:val="002D6147"/>
    <w:rsid w:val="002D682B"/>
    <w:rsid w:val="002D6E01"/>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34C"/>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0ECF"/>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AB2"/>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92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CE8"/>
    <w:rsid w:val="00366E1E"/>
    <w:rsid w:val="00366FC1"/>
    <w:rsid w:val="00366FD1"/>
    <w:rsid w:val="00367634"/>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0BB"/>
    <w:rsid w:val="003832F4"/>
    <w:rsid w:val="00383508"/>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76E"/>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2EF3"/>
    <w:rsid w:val="003A3053"/>
    <w:rsid w:val="003A33DC"/>
    <w:rsid w:val="003A33E8"/>
    <w:rsid w:val="003A3624"/>
    <w:rsid w:val="003A3724"/>
    <w:rsid w:val="003A3CB9"/>
    <w:rsid w:val="003A4377"/>
    <w:rsid w:val="003A452F"/>
    <w:rsid w:val="003A4683"/>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D75"/>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017"/>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2A3"/>
    <w:rsid w:val="003E2322"/>
    <w:rsid w:val="003E2447"/>
    <w:rsid w:val="003E340E"/>
    <w:rsid w:val="003E3627"/>
    <w:rsid w:val="003E37F9"/>
    <w:rsid w:val="003E382D"/>
    <w:rsid w:val="003E3B9C"/>
    <w:rsid w:val="003E3BEC"/>
    <w:rsid w:val="003E4498"/>
    <w:rsid w:val="003E51C4"/>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6F8"/>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560"/>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B5C"/>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6F4B"/>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6A0"/>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D1A"/>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280"/>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257"/>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2C"/>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1828"/>
    <w:rsid w:val="0061223D"/>
    <w:rsid w:val="006124F4"/>
    <w:rsid w:val="006125BA"/>
    <w:rsid w:val="00612730"/>
    <w:rsid w:val="00612849"/>
    <w:rsid w:val="00612DC4"/>
    <w:rsid w:val="006135F7"/>
    <w:rsid w:val="00613739"/>
    <w:rsid w:val="006137DE"/>
    <w:rsid w:val="00613D1C"/>
    <w:rsid w:val="00614030"/>
    <w:rsid w:val="0061413E"/>
    <w:rsid w:val="00614399"/>
    <w:rsid w:val="006144E4"/>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1DD"/>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5D4"/>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6EDA"/>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04B"/>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BA3"/>
    <w:rsid w:val="00687FDC"/>
    <w:rsid w:val="00687FDE"/>
    <w:rsid w:val="006903B7"/>
    <w:rsid w:val="00690D25"/>
    <w:rsid w:val="0069135D"/>
    <w:rsid w:val="006914BB"/>
    <w:rsid w:val="006921FD"/>
    <w:rsid w:val="006926E9"/>
    <w:rsid w:val="006927B3"/>
    <w:rsid w:val="006927F0"/>
    <w:rsid w:val="00692864"/>
    <w:rsid w:val="00692B36"/>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CAF"/>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289"/>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8D3"/>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577"/>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88C"/>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448F"/>
    <w:rsid w:val="0071571B"/>
    <w:rsid w:val="00716A89"/>
    <w:rsid w:val="00716C07"/>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5FD9"/>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B1A"/>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290"/>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3FB"/>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6EE2"/>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282"/>
    <w:rsid w:val="007E2A48"/>
    <w:rsid w:val="007E2D95"/>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85B"/>
    <w:rsid w:val="007F79EE"/>
    <w:rsid w:val="007F7DB6"/>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748"/>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4B0"/>
    <w:rsid w:val="00812736"/>
    <w:rsid w:val="0081314E"/>
    <w:rsid w:val="00813487"/>
    <w:rsid w:val="0081370A"/>
    <w:rsid w:val="00813840"/>
    <w:rsid w:val="00813A37"/>
    <w:rsid w:val="00813CD0"/>
    <w:rsid w:val="00813F40"/>
    <w:rsid w:val="008147FD"/>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210"/>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7A"/>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1B3C"/>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5EE5"/>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1C8"/>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4B9"/>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3B85"/>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AD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26CB"/>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5C"/>
    <w:rsid w:val="00956C86"/>
    <w:rsid w:val="009573DD"/>
    <w:rsid w:val="009575A1"/>
    <w:rsid w:val="009579EA"/>
    <w:rsid w:val="00957C78"/>
    <w:rsid w:val="00960030"/>
    <w:rsid w:val="0096013E"/>
    <w:rsid w:val="00960912"/>
    <w:rsid w:val="00960C1A"/>
    <w:rsid w:val="00960E22"/>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67D16"/>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8A"/>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F2F"/>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D19"/>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CF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CF7"/>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297F"/>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77F1B"/>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B2D"/>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5AB"/>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42D"/>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68F"/>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4FD"/>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B7C14"/>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22C"/>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E2D"/>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736"/>
    <w:rsid w:val="00BD686D"/>
    <w:rsid w:val="00BD6930"/>
    <w:rsid w:val="00BD7011"/>
    <w:rsid w:val="00BD7199"/>
    <w:rsid w:val="00BD7E42"/>
    <w:rsid w:val="00BE0022"/>
    <w:rsid w:val="00BE00DA"/>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2B7A"/>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8"/>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1D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2A20"/>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2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9CD"/>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0F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5AB"/>
    <w:rsid w:val="00CA7765"/>
    <w:rsid w:val="00CA784C"/>
    <w:rsid w:val="00CA7860"/>
    <w:rsid w:val="00CA7B57"/>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9E"/>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AF9"/>
    <w:rsid w:val="00D05C88"/>
    <w:rsid w:val="00D0635C"/>
    <w:rsid w:val="00D06452"/>
    <w:rsid w:val="00D06496"/>
    <w:rsid w:val="00D06ACF"/>
    <w:rsid w:val="00D06F9A"/>
    <w:rsid w:val="00D07272"/>
    <w:rsid w:val="00D072E6"/>
    <w:rsid w:val="00D072ED"/>
    <w:rsid w:val="00D0770A"/>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6FB"/>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C8B"/>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7CF"/>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2F9B"/>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BAF"/>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0A1"/>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5F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EFC"/>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691C"/>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6E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38"/>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47"/>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68B"/>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750"/>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 w:type="paragraph" w:customStyle="1" w:styleId="3GPPHeader">
    <w:name w:val="3GPP_Header"/>
    <w:basedOn w:val="Normal"/>
    <w:rsid w:val="00D0770A"/>
    <w:pPr>
      <w:tabs>
        <w:tab w:val="left" w:pos="1701"/>
        <w:tab w:val="right" w:pos="9639"/>
      </w:tabs>
      <w:spacing w:after="240" w:line="259" w:lineRule="auto"/>
    </w:pPr>
    <w:rPr>
      <w:rFonts w:ascii="Arial" w:eastAsiaTheme="minorEastAsia"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28216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4423751">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CF7FDD3-E822-442F-A7A5-B0FB2BEB2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1</Pages>
  <Words>367</Words>
  <Characters>1889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Links>
    <vt:vector size="24" baseType="variant">
      <vt:variant>
        <vt:i4>4259903</vt:i4>
      </vt:variant>
      <vt:variant>
        <vt:i4>45</vt:i4>
      </vt:variant>
      <vt:variant>
        <vt:i4>0</vt:i4>
      </vt:variant>
      <vt:variant>
        <vt:i4>5</vt:i4>
      </vt:variant>
      <vt:variant>
        <vt:lpwstr>http://3gpp.org/ftp/tsg_ran/WG1_RL1/TSGR1_107-e/LS/Outgoing/R1-2112802.zip</vt:lpwstr>
      </vt:variant>
      <vt:variant>
        <vt:lpwstr/>
      </vt:variant>
      <vt:variant>
        <vt:i4>3014668</vt:i4>
      </vt:variant>
      <vt:variant>
        <vt:i4>42</vt:i4>
      </vt:variant>
      <vt:variant>
        <vt:i4>0</vt:i4>
      </vt:variant>
      <vt:variant>
        <vt:i4>5</vt:i4>
      </vt:variant>
      <vt:variant>
        <vt:lpwstr>https://www.3gpp.org/ftp/TSG_RAN/WG4_Radio/TSGR4_101-e/Docs/R4-2117449.zip</vt:lpwstr>
      </vt:variant>
      <vt:variant>
        <vt:lpwstr/>
      </vt:variant>
      <vt:variant>
        <vt:i4>4784168</vt:i4>
      </vt:variant>
      <vt:variant>
        <vt:i4>3</vt:i4>
      </vt:variant>
      <vt:variant>
        <vt:i4>0</vt:i4>
      </vt:variant>
      <vt:variant>
        <vt:i4>5</vt:i4>
      </vt:variant>
      <vt:variant>
        <vt:lpwstr>C:\Data\3GPP\RAN2\Inbox\R2-2201738.zip</vt:lpwstr>
      </vt:variant>
      <vt:variant>
        <vt:lpwstr/>
      </vt:variant>
      <vt:variant>
        <vt:i4>4784168</vt:i4>
      </vt:variant>
      <vt:variant>
        <vt:i4>0</vt:i4>
      </vt:variant>
      <vt:variant>
        <vt:i4>0</vt:i4>
      </vt:variant>
      <vt:variant>
        <vt:i4>5</vt:i4>
      </vt:variant>
      <vt:variant>
        <vt:lpwstr>C:\Data\3GPP\RAN2\Inbox\R2-2201738.zip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Ericsson - Zhixun Tang</cp:lastModifiedBy>
  <cp:revision>133</cp:revision>
  <cp:lastPrinted>2010-10-04T23:58:00Z</cp:lastPrinted>
  <dcterms:created xsi:type="dcterms:W3CDTF">2022-02-14T18:53:00Z</dcterms:created>
  <dcterms:modified xsi:type="dcterms:W3CDTF">2022-09-30T13:41:00Z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